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1DF9" w14:textId="77777777" w:rsidR="00762E4E" w:rsidRPr="00762E4E" w:rsidRDefault="00762E4E" w:rsidP="00762E4E">
      <w:pPr>
        <w:spacing w:after="0" w:line="360" w:lineRule="auto"/>
        <w:rPr>
          <w:rFonts w:ascii="Tahoma" w:eastAsia="Tahoma" w:hAnsi="Tahoma" w:cs="Tahoma"/>
          <w:b/>
          <w:color w:val="000000"/>
          <w:kern w:val="0"/>
          <w:sz w:val="28"/>
          <w14:ligatures w14:val="none"/>
        </w:rPr>
      </w:pPr>
      <w:r w:rsidRPr="00762E4E">
        <w:rPr>
          <w:rFonts w:ascii="Tahoma" w:eastAsia="Tahoma" w:hAnsi="Tahoma" w:cs="Tahoma"/>
          <w:b/>
          <w:color w:val="000000"/>
          <w:kern w:val="0"/>
          <w:sz w:val="28"/>
          <w14:ligatures w14:val="none"/>
        </w:rPr>
        <w:t>Subpart 11. Fees</w:t>
      </w:r>
    </w:p>
    <w:p w14:paraId="41068AFC" w14:textId="77777777" w:rsidR="00762E4E" w:rsidRPr="00762E4E" w:rsidRDefault="00762E4E" w:rsidP="00762E4E">
      <w:pPr>
        <w:spacing w:after="0" w:line="360" w:lineRule="auto"/>
        <w:rPr>
          <w:rFonts w:ascii="Tahoma" w:eastAsia="Tahoma" w:hAnsi="Tahoma" w:cs="Tahoma"/>
          <w:color w:val="000000"/>
          <w:kern w:val="0"/>
          <w:szCs w:val="22"/>
          <w14:ligatures w14:val="none"/>
        </w:rPr>
      </w:pPr>
    </w:p>
    <w:p w14:paraId="330EC1DC" w14:textId="77777777" w:rsidR="00762E4E" w:rsidRPr="00762E4E" w:rsidRDefault="00762E4E" w:rsidP="00762E4E">
      <w:pPr>
        <w:spacing w:after="0" w:line="360" w:lineRule="auto"/>
        <w:rPr>
          <w:rFonts w:ascii="Tahoma" w:eastAsia="Calibri" w:hAnsi="Tahoma" w:cs="Tahoma"/>
          <w:b/>
          <w:kern w:val="0"/>
          <w14:ligatures w14:val="none"/>
        </w:rPr>
      </w:pPr>
      <w:r w:rsidRPr="00762E4E">
        <w:rPr>
          <w:rFonts w:ascii="Tahoma" w:eastAsia="Calibri" w:hAnsi="Tahoma" w:cs="Tahoma"/>
          <w:kern w:val="0"/>
          <w14:ligatures w14:val="none"/>
        </w:rPr>
        <w:tab/>
      </w:r>
      <w:r w:rsidRPr="00762E4E">
        <w:rPr>
          <w:rFonts w:ascii="Tahoma" w:eastAsia="Calibri" w:hAnsi="Tahoma" w:cs="Tahoma"/>
          <w:b/>
          <w:kern w:val="0"/>
          <w14:ligatures w14:val="none"/>
        </w:rPr>
        <w:t xml:space="preserve">17 CAR § 236-1101. Required fees. </w:t>
      </w:r>
    </w:p>
    <w:p w14:paraId="582FE65E"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(a) The fees for various services of the Arkansas State Board of Public Accountancy are as follows (must be paid in United States dollars).</w:t>
      </w:r>
    </w:p>
    <w:p w14:paraId="40A58EFF"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 xml:space="preserve">(b) CPA Examination. </w:t>
      </w:r>
    </w:p>
    <w:p w14:paraId="2A6BA73A"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(1) Application fees — First-time and section fees (nonrefundable and nontransferable).</w:t>
      </w:r>
    </w:p>
    <w:p w14:paraId="7EFB26B2" w14:textId="77777777" w:rsidR="00762E4E" w:rsidRPr="00762E4E" w:rsidRDefault="00762E4E" w:rsidP="00762E4E">
      <w:pPr>
        <w:spacing w:after="0" w:line="360" w:lineRule="auto"/>
        <w:rPr>
          <w:rFonts w:ascii="Tahoma" w:eastAsia="Calibri" w:hAnsi="Tahoma" w:cs="Tahoma"/>
          <w:kern w:val="0"/>
          <w14:ligatures w14:val="none"/>
        </w:rPr>
      </w:pPr>
    </w:p>
    <w:p w14:paraId="04087793"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First-time application fee</w:t>
      </w:r>
      <w:r w:rsidRPr="00762E4E">
        <w:rPr>
          <w:rFonts w:ascii="Tahoma" w:eastAsia="Calibri" w:hAnsi="Tahoma" w:cs="Tahoma"/>
          <w:kern w:val="0"/>
          <w14:ligatures w14:val="none"/>
        </w:rPr>
        <w:tab/>
        <w:t>$50</w:t>
      </w:r>
    </w:p>
    <w:p w14:paraId="53DFEE16"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Applying for one section</w:t>
      </w:r>
      <w:r w:rsidRPr="00762E4E">
        <w:rPr>
          <w:rFonts w:ascii="Tahoma" w:eastAsia="Calibri" w:hAnsi="Tahoma" w:cs="Tahoma"/>
          <w:kern w:val="0"/>
          <w14:ligatures w14:val="none"/>
        </w:rPr>
        <w:tab/>
        <w:t>$75</w:t>
      </w:r>
    </w:p>
    <w:p w14:paraId="50BD97DC"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Applying for two sections</w:t>
      </w:r>
      <w:r w:rsidRPr="00762E4E">
        <w:rPr>
          <w:rFonts w:ascii="Tahoma" w:eastAsia="Calibri" w:hAnsi="Tahoma" w:cs="Tahoma"/>
          <w:kern w:val="0"/>
          <w14:ligatures w14:val="none"/>
        </w:rPr>
        <w:tab/>
        <w:t>$90</w:t>
      </w:r>
    </w:p>
    <w:p w14:paraId="1477B2E8"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Applying for three sections</w:t>
      </w:r>
      <w:r w:rsidRPr="00762E4E">
        <w:rPr>
          <w:rFonts w:ascii="Tahoma" w:eastAsia="Calibri" w:hAnsi="Tahoma" w:cs="Tahoma"/>
          <w:kern w:val="0"/>
          <w14:ligatures w14:val="none"/>
        </w:rPr>
        <w:tab/>
        <w:t>$105</w:t>
      </w:r>
    </w:p>
    <w:p w14:paraId="4F173BE8"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Applying for four sections</w:t>
      </w:r>
      <w:r w:rsidRPr="00762E4E">
        <w:rPr>
          <w:rFonts w:ascii="Tahoma" w:eastAsia="Calibri" w:hAnsi="Tahoma" w:cs="Tahoma"/>
          <w:kern w:val="0"/>
          <w14:ligatures w14:val="none"/>
        </w:rPr>
        <w:tab/>
        <w:t>$120</w:t>
      </w:r>
    </w:p>
    <w:p w14:paraId="49621403" w14:textId="77777777" w:rsidR="00762E4E" w:rsidRPr="00762E4E" w:rsidRDefault="00762E4E" w:rsidP="00762E4E">
      <w:pPr>
        <w:spacing w:after="0" w:line="360" w:lineRule="auto"/>
        <w:rPr>
          <w:rFonts w:ascii="Tahoma" w:eastAsia="Calibri" w:hAnsi="Tahoma" w:cs="Tahoma"/>
          <w:kern w:val="0"/>
          <w14:ligatures w14:val="none"/>
        </w:rPr>
      </w:pPr>
    </w:p>
    <w:p w14:paraId="52A6A409"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(2)(A) Other costs.</w:t>
      </w:r>
    </w:p>
    <w:p w14:paraId="5DEFCB27"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(B)(</w:t>
      </w:r>
      <w:proofErr w:type="spellStart"/>
      <w:r w:rsidRPr="00762E4E">
        <w:rPr>
          <w:rFonts w:ascii="Tahoma" w:eastAsia="Calibri" w:hAnsi="Tahoma" w:cs="Tahoma"/>
          <w:kern w:val="0"/>
          <w14:ligatures w14:val="none"/>
        </w:rPr>
        <w:t>i</w:t>
      </w:r>
      <w:proofErr w:type="spellEnd"/>
      <w:r w:rsidRPr="00762E4E">
        <w:rPr>
          <w:rFonts w:ascii="Tahoma" w:eastAsia="Calibri" w:hAnsi="Tahoma" w:cs="Tahoma"/>
          <w:kern w:val="0"/>
          <w14:ligatures w14:val="none"/>
        </w:rPr>
        <w:t xml:space="preserve">) Fees for the NASBA, AICPA, and test delivery provider are also collected by the board and held for the candidate for transfer to these entities. </w:t>
      </w:r>
    </w:p>
    <w:p w14:paraId="535187DC"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(ii) These entities set fees separate from the board.  </w:t>
      </w:r>
    </w:p>
    <w:p w14:paraId="79D5E3F3"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(iii) The board will display such fees on the examination application. </w:t>
      </w:r>
    </w:p>
    <w:p w14:paraId="1D96EA19"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(c) Application fees (</w:t>
      </w:r>
      <w:proofErr w:type="gramStart"/>
      <w:r w:rsidRPr="00762E4E">
        <w:rPr>
          <w:rFonts w:ascii="Tahoma" w:eastAsia="Calibri" w:hAnsi="Tahoma" w:cs="Tahoma"/>
          <w:kern w:val="0"/>
          <w14:ligatures w14:val="none"/>
        </w:rPr>
        <w:t>nonrefundable</w:t>
      </w:r>
      <w:proofErr w:type="gramEnd"/>
      <w:r w:rsidRPr="00762E4E">
        <w:rPr>
          <w:rFonts w:ascii="Tahoma" w:eastAsia="Calibri" w:hAnsi="Tahoma" w:cs="Tahoma"/>
          <w:kern w:val="0"/>
          <w14:ligatures w14:val="none"/>
        </w:rPr>
        <w:t>).</w:t>
      </w:r>
    </w:p>
    <w:p w14:paraId="419F8EA2" w14:textId="77777777" w:rsidR="00762E4E" w:rsidRPr="00762E4E" w:rsidRDefault="00762E4E" w:rsidP="00762E4E">
      <w:pPr>
        <w:spacing w:after="0" w:line="360" w:lineRule="auto"/>
        <w:rPr>
          <w:rFonts w:ascii="Tahoma" w:eastAsia="Calibri" w:hAnsi="Tahoma" w:cs="Tahoma"/>
          <w:kern w:val="0"/>
          <w14:ligatures w14:val="none"/>
        </w:rPr>
      </w:pPr>
    </w:p>
    <w:p w14:paraId="212FB69E"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CPA/PA License</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$50</w:t>
      </w:r>
    </w:p>
    <w:p w14:paraId="3E7D961A"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Reciprocal License</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$50</w:t>
      </w:r>
    </w:p>
    <w:p w14:paraId="72F440F4"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Registration as a public accountant</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$50</w:t>
      </w:r>
    </w:p>
    <w:p w14:paraId="1F6CC4DB"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Firm registration of partnership, limited liability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company, or corporation composed of CPAs</w:t>
      </w:r>
      <w:r w:rsidRPr="00762E4E">
        <w:rPr>
          <w:rFonts w:ascii="Tahoma" w:eastAsia="Calibri" w:hAnsi="Tahoma" w:cs="Tahoma"/>
          <w:kern w:val="0"/>
          <w14:ligatures w14:val="none"/>
        </w:rPr>
        <w:tab/>
      </w:r>
      <w:r w:rsidRPr="00762E4E">
        <w:rPr>
          <w:rFonts w:ascii="Tahoma" w:eastAsia="Calibri" w:hAnsi="Tahoma" w:cs="Tahoma"/>
          <w:kern w:val="0"/>
          <w14:ligatures w14:val="none"/>
        </w:rPr>
        <w:tab/>
        <w:t>$110</w:t>
      </w:r>
    </w:p>
    <w:p w14:paraId="2AC8D4E9"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lastRenderedPageBreak/>
        <w:tab/>
      </w:r>
      <w:r w:rsidRPr="00762E4E">
        <w:rPr>
          <w:rFonts w:ascii="Tahoma" w:eastAsia="Calibri" w:hAnsi="Tahoma" w:cs="Tahoma"/>
          <w:kern w:val="0"/>
          <w14:ligatures w14:val="none"/>
        </w:rPr>
        <w:tab/>
        <w:t xml:space="preserve">Firm registration of partnership, limited liability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company, or corporation composed of PAs </w:t>
      </w:r>
      <w:r w:rsidRPr="00762E4E">
        <w:rPr>
          <w:rFonts w:ascii="Tahoma" w:eastAsia="Calibri" w:hAnsi="Tahoma" w:cs="Tahoma"/>
          <w:kern w:val="0"/>
          <w14:ligatures w14:val="none"/>
        </w:rPr>
        <w:tab/>
      </w:r>
      <w:r w:rsidRPr="00762E4E">
        <w:rPr>
          <w:rFonts w:ascii="Tahoma" w:eastAsia="Calibri" w:hAnsi="Tahoma" w:cs="Tahoma"/>
          <w:kern w:val="0"/>
          <w14:ligatures w14:val="none"/>
        </w:rPr>
        <w:tab/>
        <w:t>$110</w:t>
      </w:r>
    </w:p>
    <w:p w14:paraId="759CAFD4"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Firm registration of sole proprietor, partnership,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limited liability company, or corporation composed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of CPAs required to register under substantial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equivalency</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$110</w:t>
      </w:r>
    </w:p>
    <w:p w14:paraId="17125945"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Reinstatement</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$150</w:t>
      </w:r>
    </w:p>
    <w:p w14:paraId="35F76C48"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Duplicate or replacement certificate</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$40</w:t>
      </w:r>
    </w:p>
    <w:p w14:paraId="7001D32E"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Transfer of credits from another jurisdiction:</w:t>
      </w:r>
    </w:p>
    <w:p w14:paraId="110F816D"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Transfer fee for each part</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$10</w:t>
      </w:r>
    </w:p>
    <w:p w14:paraId="1AE4F3DD" w14:textId="77777777" w:rsidR="00762E4E" w:rsidRPr="00762E4E" w:rsidRDefault="00762E4E" w:rsidP="00762E4E">
      <w:pPr>
        <w:spacing w:after="0" w:line="360" w:lineRule="auto"/>
        <w:rPr>
          <w:rFonts w:ascii="Tahoma" w:eastAsia="Calibri" w:hAnsi="Tahoma" w:cs="Tahoma"/>
          <w:kern w:val="0"/>
          <w14:ligatures w14:val="none"/>
        </w:rPr>
      </w:pPr>
    </w:p>
    <w:p w14:paraId="5C6C20C7"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(d) Annual registration fees.</w:t>
      </w:r>
    </w:p>
    <w:p w14:paraId="3B3254AD"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p>
    <w:p w14:paraId="14E73749"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License to practice</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$110 </w:t>
      </w:r>
    </w:p>
    <w:p w14:paraId="0540951C"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Inactive license status</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$55</w:t>
      </w:r>
    </w:p>
    <w:p w14:paraId="19A4FF62"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Firm registration: partnership, corporations,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and limited liability company</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$110</w:t>
      </w:r>
    </w:p>
    <w:p w14:paraId="69E60C85"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Firm registration of sole proprietor, partnership,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limited liability company, or corporation composed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of CPAs required to register under substantial </w:t>
      </w:r>
      <w:r w:rsidRPr="00762E4E">
        <w:rPr>
          <w:rFonts w:ascii="Tahoma" w:eastAsia="Calibri" w:hAnsi="Tahoma" w:cs="Tahoma"/>
          <w:kern w:val="0"/>
          <w14:ligatures w14:val="none"/>
        </w:rPr>
        <w:br/>
      </w:r>
      <w:r w:rsidRPr="00762E4E">
        <w:rPr>
          <w:rFonts w:ascii="Tahoma" w:eastAsia="Calibri" w:hAnsi="Tahoma" w:cs="Tahoma"/>
          <w:kern w:val="0"/>
          <w14:ligatures w14:val="none"/>
        </w:rPr>
        <w:tab/>
      </w:r>
      <w:r w:rsidRPr="00762E4E">
        <w:rPr>
          <w:rFonts w:ascii="Tahoma" w:eastAsia="Calibri" w:hAnsi="Tahoma" w:cs="Tahoma"/>
          <w:kern w:val="0"/>
          <w14:ligatures w14:val="none"/>
        </w:rPr>
        <w:tab/>
        <w:t>equivalency</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$110</w:t>
      </w:r>
    </w:p>
    <w:p w14:paraId="397B33D1"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Registration of each </w:t>
      </w:r>
      <w:proofErr w:type="gramStart"/>
      <w:r w:rsidRPr="00762E4E">
        <w:rPr>
          <w:rFonts w:ascii="Tahoma" w:eastAsia="Calibri" w:hAnsi="Tahoma" w:cs="Tahoma"/>
          <w:kern w:val="0"/>
          <w14:ligatures w14:val="none"/>
        </w:rPr>
        <w:t>firm</w:t>
      </w:r>
      <w:proofErr w:type="gramEnd"/>
      <w:r w:rsidRPr="00762E4E">
        <w:rPr>
          <w:rFonts w:ascii="Tahoma" w:eastAsia="Calibri" w:hAnsi="Tahoma" w:cs="Tahoma"/>
          <w:kern w:val="0"/>
          <w14:ligatures w14:val="none"/>
        </w:rPr>
        <w:t xml:space="preserve"> office </w:t>
      </w:r>
      <w:proofErr w:type="gramStart"/>
      <w:r w:rsidRPr="00762E4E">
        <w:rPr>
          <w:rFonts w:ascii="Tahoma" w:eastAsia="Calibri" w:hAnsi="Tahoma" w:cs="Tahoma"/>
          <w:kern w:val="0"/>
          <w14:ligatures w14:val="none"/>
        </w:rPr>
        <w:t>in excess of</w:t>
      </w:r>
      <w:proofErr w:type="gramEnd"/>
      <w:r w:rsidRPr="00762E4E">
        <w:rPr>
          <w:rFonts w:ascii="Tahoma" w:eastAsia="Calibri" w:hAnsi="Tahoma" w:cs="Tahoma"/>
          <w:kern w:val="0"/>
          <w14:ligatures w14:val="none"/>
        </w:rPr>
        <w:t xml:space="preserve"> one (1) office</w:t>
      </w:r>
      <w:r w:rsidRPr="00762E4E">
        <w:rPr>
          <w:rFonts w:ascii="Tahoma" w:eastAsia="Calibri" w:hAnsi="Tahoma" w:cs="Tahoma"/>
          <w:kern w:val="0"/>
          <w14:ligatures w14:val="none"/>
        </w:rPr>
        <w:tab/>
        <w:t>$25</w:t>
      </w:r>
    </w:p>
    <w:p w14:paraId="467FA92D"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Late fee - License to practice/firms</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per month $25 </w:t>
      </w:r>
    </w:p>
    <w:p w14:paraId="2A89EB6E"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Late fee - Inactive license status</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per month $10</w:t>
      </w:r>
    </w:p>
    <w:p w14:paraId="0819AAC3" w14:textId="77777777" w:rsidR="00762E4E" w:rsidRPr="00762E4E" w:rsidRDefault="00762E4E" w:rsidP="00762E4E">
      <w:pPr>
        <w:spacing w:after="0" w:line="360" w:lineRule="auto"/>
        <w:rPr>
          <w:rFonts w:ascii="Tahoma" w:eastAsia="Calibri" w:hAnsi="Tahoma" w:cs="Tahoma"/>
          <w:kern w:val="0"/>
          <w14:ligatures w14:val="none"/>
        </w:rPr>
      </w:pPr>
    </w:p>
    <w:p w14:paraId="5BB8BF79"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(e)(1) Quality review.</w:t>
      </w:r>
    </w:p>
    <w:p w14:paraId="59966D7B" w14:textId="77777777" w:rsidR="00762E4E" w:rsidRPr="00762E4E" w:rsidRDefault="00762E4E" w:rsidP="00762E4E">
      <w:pPr>
        <w:spacing w:after="0" w:line="360" w:lineRule="auto"/>
        <w:rPr>
          <w:rFonts w:ascii="Tahoma" w:eastAsia="Calibri" w:hAnsi="Tahoma" w:cs="Tahoma"/>
          <w:kern w:val="0"/>
          <w14:ligatures w14:val="none"/>
        </w:rPr>
      </w:pPr>
    </w:p>
    <w:p w14:paraId="7AF2F06E" w14:textId="77777777" w:rsidR="00762E4E" w:rsidRPr="00762E4E" w:rsidRDefault="00762E4E" w:rsidP="00762E4E">
      <w:pPr>
        <w:spacing w:after="0" w:line="360" w:lineRule="auto"/>
        <w:ind w:left="1260" w:hanging="1260"/>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Fee for first report</w:t>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$10</w:t>
      </w:r>
    </w:p>
    <w:p w14:paraId="54FEA99D" w14:textId="77777777" w:rsidR="00762E4E" w:rsidRPr="00762E4E" w:rsidRDefault="00762E4E" w:rsidP="00762E4E">
      <w:pPr>
        <w:spacing w:after="0" w:line="360" w:lineRule="auto"/>
        <w:ind w:left="1260" w:hanging="1260"/>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Fee for each additional type of report submitted</w:t>
      </w:r>
      <w:r w:rsidRPr="00762E4E">
        <w:rPr>
          <w:rFonts w:ascii="Tahoma" w:eastAsia="Calibri" w:hAnsi="Tahoma" w:cs="Tahoma"/>
          <w:kern w:val="0"/>
          <w14:ligatures w14:val="none"/>
        </w:rPr>
        <w:tab/>
        <w:t>$50</w:t>
      </w:r>
    </w:p>
    <w:p w14:paraId="48BDDD67" w14:textId="77777777" w:rsidR="00762E4E" w:rsidRPr="00762E4E" w:rsidRDefault="00762E4E" w:rsidP="00762E4E">
      <w:pPr>
        <w:spacing w:after="0" w:line="360" w:lineRule="auto"/>
        <w:rPr>
          <w:rFonts w:ascii="Tahoma" w:eastAsia="Calibri" w:hAnsi="Tahoma" w:cs="Tahoma"/>
          <w:kern w:val="0"/>
          <w14:ligatures w14:val="none"/>
        </w:rPr>
      </w:pPr>
    </w:p>
    <w:p w14:paraId="36E38B70"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lastRenderedPageBreak/>
        <w:tab/>
      </w:r>
      <w:r w:rsidRPr="00762E4E">
        <w:rPr>
          <w:rFonts w:ascii="Tahoma" w:eastAsia="Calibri" w:hAnsi="Tahoma" w:cs="Tahoma"/>
          <w:kern w:val="0"/>
          <w14:ligatures w14:val="none"/>
        </w:rPr>
        <w:tab/>
        <w:t xml:space="preserve">(2) Fees are due at the time reports are submitted for review in response to </w:t>
      </w:r>
      <w:proofErr w:type="gramStart"/>
      <w:r w:rsidRPr="00762E4E">
        <w:rPr>
          <w:rFonts w:ascii="Tahoma" w:eastAsia="Calibri" w:hAnsi="Tahoma" w:cs="Tahoma"/>
          <w:kern w:val="0"/>
          <w14:ligatures w14:val="none"/>
        </w:rPr>
        <w:t>QR</w:t>
      </w:r>
      <w:proofErr w:type="gramEnd"/>
      <w:r w:rsidRPr="00762E4E">
        <w:rPr>
          <w:rFonts w:ascii="Tahoma" w:eastAsia="Calibri" w:hAnsi="Tahoma" w:cs="Tahoma"/>
          <w:kern w:val="0"/>
          <w14:ligatures w14:val="none"/>
        </w:rPr>
        <w:t xml:space="preserve"> survey.</w:t>
      </w:r>
    </w:p>
    <w:p w14:paraId="52692B6B" w14:textId="77777777" w:rsidR="00762E4E" w:rsidRPr="00762E4E" w:rsidRDefault="00762E4E" w:rsidP="00762E4E">
      <w:pPr>
        <w:spacing w:after="0" w:line="360" w:lineRule="auto"/>
        <w:rPr>
          <w:rFonts w:ascii="Tahoma" w:eastAsia="Tahoma" w:hAnsi="Tahoma" w:cs="Tahoma"/>
          <w:color w:val="000000"/>
          <w:kern w:val="0"/>
          <w:szCs w:val="22"/>
          <w14:ligatures w14:val="none"/>
        </w:rPr>
      </w:pPr>
    </w:p>
    <w:p w14:paraId="27B378A5" w14:textId="77777777" w:rsidR="00762E4E" w:rsidRPr="00762E4E" w:rsidRDefault="00762E4E" w:rsidP="00762E4E">
      <w:pPr>
        <w:spacing w:after="0" w:line="360" w:lineRule="auto"/>
        <w:rPr>
          <w:rFonts w:ascii="Tahoma" w:eastAsia="Calibri" w:hAnsi="Tahoma" w:cs="Tahoma"/>
          <w:b/>
          <w:kern w:val="0"/>
          <w14:ligatures w14:val="none"/>
        </w:rPr>
      </w:pPr>
      <w:r w:rsidRPr="00762E4E">
        <w:rPr>
          <w:rFonts w:ascii="Tahoma" w:eastAsia="Calibri" w:hAnsi="Tahoma" w:cs="Tahoma"/>
          <w:kern w:val="0"/>
          <w14:ligatures w14:val="none"/>
        </w:rPr>
        <w:tab/>
      </w:r>
      <w:r w:rsidRPr="00762E4E">
        <w:rPr>
          <w:rFonts w:ascii="Tahoma" w:eastAsia="Calibri" w:hAnsi="Tahoma" w:cs="Tahoma"/>
          <w:b/>
          <w:kern w:val="0"/>
          <w14:ligatures w14:val="none"/>
        </w:rPr>
        <w:t>17 CAR § 236-1102.</w:t>
      </w:r>
      <w:r w:rsidRPr="00762E4E">
        <w:rPr>
          <w:rFonts w:ascii="Tahoma" w:eastAsia="Calibri" w:hAnsi="Tahoma" w:cs="Tahoma"/>
          <w:kern w:val="0"/>
          <w14:ligatures w14:val="none"/>
        </w:rPr>
        <w:t xml:space="preserve"> </w:t>
      </w:r>
      <w:r w:rsidRPr="00762E4E">
        <w:rPr>
          <w:rFonts w:ascii="Tahoma" w:eastAsia="Calibri" w:hAnsi="Tahoma" w:cs="Tahoma"/>
          <w:b/>
          <w:kern w:val="0"/>
          <w14:ligatures w14:val="none"/>
        </w:rPr>
        <w:t>Waiver of initial licensing fees.</w:t>
      </w:r>
    </w:p>
    <w:p w14:paraId="2B282470"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 xml:space="preserve">(a)(1) Pursuant to Acts 2021, No. 725, an applicant may receive a waiver of the initial licensure fee, if eligible. </w:t>
      </w:r>
    </w:p>
    <w:p w14:paraId="3E0AB601"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(2) Eligible applicants are applicants who:</w:t>
      </w:r>
    </w:p>
    <w:p w14:paraId="3BF50B9F"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(A) Are receiving assistance through the: </w:t>
      </w:r>
    </w:p>
    <w:p w14:paraId="42CBA2A3"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w:t>
      </w:r>
      <w:proofErr w:type="spellStart"/>
      <w:r w:rsidRPr="00762E4E">
        <w:rPr>
          <w:rFonts w:ascii="Tahoma" w:eastAsia="Calibri" w:hAnsi="Tahoma" w:cs="Tahoma"/>
          <w:kern w:val="0"/>
          <w14:ligatures w14:val="none"/>
        </w:rPr>
        <w:t>i</w:t>
      </w:r>
      <w:proofErr w:type="spellEnd"/>
      <w:r w:rsidRPr="00762E4E">
        <w:rPr>
          <w:rFonts w:ascii="Tahoma" w:eastAsia="Calibri" w:hAnsi="Tahoma" w:cs="Tahoma"/>
          <w:kern w:val="0"/>
          <w14:ligatures w14:val="none"/>
        </w:rPr>
        <w:t xml:space="preserve">) Arkansas, or current state of residence equivalent, Medicaid Program; </w:t>
      </w:r>
    </w:p>
    <w:p w14:paraId="192B12D2"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(ii) Supplemental Nutrition Assistance Program; </w:t>
      </w:r>
    </w:p>
    <w:p w14:paraId="247DC055"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(iii) Special Supplemental Nutrition Program for Women, Infants, and Children; </w:t>
      </w:r>
    </w:p>
    <w:p w14:paraId="07483FA5"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(iv) Temporary Assistance for Needy Families Program; or </w:t>
      </w:r>
    </w:p>
    <w:p w14:paraId="79BE4A58"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(v) Lifeline Assistance Program;</w:t>
      </w:r>
    </w:p>
    <w:p w14:paraId="14371505"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(B) Were approved for unemployment benefits within the last twelve (12) months; or</w:t>
      </w:r>
    </w:p>
    <w:p w14:paraId="202E2ED2"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(C) Have an income that does not exceed two hundred percent (200%) of the federal poverty income guidelines.</w:t>
      </w:r>
    </w:p>
    <w:p w14:paraId="26C6E523"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(b) Applicants shall provide documentation as follows:</w:t>
      </w:r>
    </w:p>
    <w:p w14:paraId="3751480E"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(1) For Medicaid, Supplemental Nutrition Assistance Program, Special Supplemental Nutrition Program for Women, Infants, and Children, Temporary Assistance for Needy Families Program, or Lifeline Assistance Program, documentation from the Department of Human Services, or current state of residence equivalent agency;</w:t>
      </w:r>
    </w:p>
    <w:p w14:paraId="444620D8"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(2) For unemployment benefits approval in the last twelve (12) months, documentation from the Division of Workforce Services, or current state of residence equivalent agency; or</w:t>
      </w:r>
    </w:p>
    <w:p w14:paraId="5166DD8D"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t xml:space="preserve">(3)(A) For the income provision in subdivision (a)(2)(C) of this section, a signed affidavit confirming that he or she has an income that does not exceed two </w:t>
      </w:r>
      <w:r w:rsidRPr="00762E4E">
        <w:rPr>
          <w:rFonts w:ascii="Tahoma" w:eastAsia="Calibri" w:hAnsi="Tahoma" w:cs="Tahoma"/>
          <w:kern w:val="0"/>
          <w14:ligatures w14:val="none"/>
        </w:rPr>
        <w:lastRenderedPageBreak/>
        <w:t xml:space="preserve">hundred percent (200%) of the federal poverty income guidelines, as established by the United States Government. </w:t>
      </w:r>
    </w:p>
    <w:p w14:paraId="724E5751" w14:textId="77777777" w:rsidR="00762E4E"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r>
      <w:r w:rsidRPr="00762E4E">
        <w:rPr>
          <w:rFonts w:ascii="Tahoma" w:eastAsia="Calibri" w:hAnsi="Tahoma" w:cs="Tahoma"/>
          <w:kern w:val="0"/>
          <w14:ligatures w14:val="none"/>
        </w:rPr>
        <w:tab/>
      </w:r>
      <w:r w:rsidRPr="00762E4E">
        <w:rPr>
          <w:rFonts w:ascii="Tahoma" w:eastAsia="Calibri" w:hAnsi="Tahoma" w:cs="Tahoma"/>
          <w:kern w:val="0"/>
          <w14:ligatures w14:val="none"/>
        </w:rPr>
        <w:tab/>
        <w:t>(B) The applicant may be required by the Arkansas State Board of Public Accountancy to submit income tax related documents for verification purposes.</w:t>
      </w:r>
    </w:p>
    <w:p w14:paraId="4518CA26" w14:textId="1F8A6CE0" w:rsidR="00C223E9" w:rsidRPr="00762E4E" w:rsidRDefault="00762E4E" w:rsidP="00762E4E">
      <w:pPr>
        <w:spacing w:after="0" w:line="360" w:lineRule="auto"/>
        <w:rPr>
          <w:rFonts w:ascii="Tahoma" w:eastAsia="Calibri" w:hAnsi="Tahoma" w:cs="Tahoma"/>
          <w:kern w:val="0"/>
          <w14:ligatures w14:val="none"/>
        </w:rPr>
      </w:pPr>
      <w:r w:rsidRPr="00762E4E">
        <w:rPr>
          <w:rFonts w:ascii="Tahoma" w:eastAsia="Calibri" w:hAnsi="Tahoma" w:cs="Tahoma"/>
          <w:kern w:val="0"/>
          <w14:ligatures w14:val="none"/>
        </w:rPr>
        <w:tab/>
        <w:t>(c) The waiver does not include fees charged for the CPA exam or criminal background checks.</w:t>
      </w:r>
    </w:p>
    <w:sectPr w:rsidR="00C223E9" w:rsidRPr="00762E4E"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E865" w14:textId="77777777" w:rsidR="0021437B" w:rsidRDefault="0021437B" w:rsidP="0021437B">
      <w:pPr>
        <w:spacing w:after="0" w:line="240" w:lineRule="auto"/>
      </w:pPr>
      <w:r>
        <w:separator/>
      </w:r>
    </w:p>
  </w:endnote>
  <w:endnote w:type="continuationSeparator" w:id="0">
    <w:p w14:paraId="27E7776B" w14:textId="77777777" w:rsidR="0021437B" w:rsidRDefault="0021437B"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52A1B832"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05/</w:t>
    </w:r>
    <w:r w:rsidR="00762E4E">
      <w:rPr>
        <w:color w:val="948A54"/>
      </w:rPr>
      <w:t>0</w:t>
    </w:r>
    <w:r w:rsidRPr="009432CA">
      <w:rPr>
        <w:color w:val="948A54"/>
      </w:rPr>
      <w:t>2/202</w:t>
    </w:r>
    <w:r w:rsidR="00762E4E">
      <w:rPr>
        <w:color w:val="948A54"/>
      </w:rPr>
      <w:t>2</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8263" w14:textId="77777777" w:rsidR="0021437B" w:rsidRDefault="0021437B" w:rsidP="0021437B">
      <w:pPr>
        <w:spacing w:after="0" w:line="240" w:lineRule="auto"/>
      </w:pPr>
      <w:r>
        <w:separator/>
      </w:r>
    </w:p>
  </w:footnote>
  <w:footnote w:type="continuationSeparator" w:id="0">
    <w:p w14:paraId="3E1E88DD" w14:textId="77777777" w:rsidR="0021437B" w:rsidRDefault="0021437B"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0558E9C8" w:rsidR="0021437B" w:rsidRPr="009432CA" w:rsidRDefault="0021437B">
    <w:pPr>
      <w:pStyle w:val="Header"/>
      <w:rPr>
        <w:rFonts w:ascii="Tahoma" w:hAnsi="Tahoma" w:cs="Tahoma"/>
        <w:color w:val="948A54"/>
      </w:rPr>
    </w:pPr>
    <w:r w:rsidRPr="009432CA">
      <w:rPr>
        <w:rFonts w:ascii="Tahoma" w:hAnsi="Tahoma" w:cs="Tahoma"/>
        <w:color w:val="948A54"/>
      </w:rPr>
      <w:t>Title 17. CAR Part 236. State Board of Public Accountancy Rules</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171A6D"/>
    <w:rsid w:val="0021437B"/>
    <w:rsid w:val="00216B54"/>
    <w:rsid w:val="00220548"/>
    <w:rsid w:val="00233240"/>
    <w:rsid w:val="002B47AB"/>
    <w:rsid w:val="0036456A"/>
    <w:rsid w:val="003A2AC2"/>
    <w:rsid w:val="00487FD4"/>
    <w:rsid w:val="005E7E70"/>
    <w:rsid w:val="005F4EEE"/>
    <w:rsid w:val="00657500"/>
    <w:rsid w:val="00680EBE"/>
    <w:rsid w:val="007237A9"/>
    <w:rsid w:val="00762E4E"/>
    <w:rsid w:val="008447D3"/>
    <w:rsid w:val="008D6C50"/>
    <w:rsid w:val="009432CA"/>
    <w:rsid w:val="00C223E9"/>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2</cp:revision>
  <cp:lastPrinted>2025-07-28T15:54:00Z</cp:lastPrinted>
  <dcterms:created xsi:type="dcterms:W3CDTF">2025-07-28T16:24:00Z</dcterms:created>
  <dcterms:modified xsi:type="dcterms:W3CDTF">2025-07-28T16:24:00Z</dcterms:modified>
</cp:coreProperties>
</file>