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81CB" w14:textId="77777777" w:rsidR="00B17129" w:rsidRPr="00B17129" w:rsidRDefault="00B17129" w:rsidP="00B17129">
      <w:pPr>
        <w:spacing w:after="0" w:line="360" w:lineRule="auto"/>
        <w:rPr>
          <w:rFonts w:ascii="Tahoma" w:eastAsia="Tahoma" w:hAnsi="Tahoma" w:cs="Tahoma"/>
          <w:b/>
          <w:color w:val="000000"/>
          <w:kern w:val="0"/>
          <w:sz w:val="28"/>
          <w14:ligatures w14:val="none"/>
        </w:rPr>
      </w:pPr>
      <w:r w:rsidRPr="00B17129">
        <w:rPr>
          <w:rFonts w:ascii="Tahoma" w:eastAsia="Tahoma" w:hAnsi="Tahoma" w:cs="Tahoma"/>
          <w:b/>
          <w:color w:val="000000"/>
          <w:kern w:val="0"/>
          <w:sz w:val="28"/>
          <w14:ligatures w14:val="none"/>
        </w:rPr>
        <w:t>Subpart 20. Prelicensure Criminal Background Petition</w:t>
      </w:r>
    </w:p>
    <w:p w14:paraId="2AA1170C" w14:textId="77777777" w:rsidR="00B17129" w:rsidRPr="00B17129" w:rsidRDefault="00B17129" w:rsidP="00B17129">
      <w:pPr>
        <w:spacing w:after="0" w:line="360" w:lineRule="auto"/>
        <w:rPr>
          <w:rFonts w:ascii="Tahoma" w:eastAsia="Tahoma" w:hAnsi="Tahoma" w:cs="Tahoma"/>
          <w:color w:val="000000"/>
          <w:kern w:val="0"/>
          <w:szCs w:val="22"/>
          <w14:ligatures w14:val="none"/>
        </w:rPr>
      </w:pPr>
    </w:p>
    <w:p w14:paraId="00FDFA16"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b/>
          <w:color w:val="000000"/>
          <w:kern w:val="0"/>
          <w:szCs w:val="22"/>
          <w14:ligatures w14:val="none"/>
        </w:rPr>
        <w:t xml:space="preserve">Codification Notes. </w:t>
      </w:r>
      <w:r w:rsidRPr="00B17129">
        <w:rPr>
          <w:rFonts w:ascii="Tahoma" w:eastAsia="Tahoma" w:hAnsi="Tahoma" w:cs="Tahoma"/>
          <w:color w:val="000000"/>
          <w:kern w:val="0"/>
          <w:szCs w:val="22"/>
          <w14:ligatures w14:val="none"/>
        </w:rPr>
        <w:t>This subpart as promulgated prior to codification into the Code of Arkansas Rules provided as follows:</w:t>
      </w:r>
    </w:p>
    <w:p w14:paraId="2A6FBF7D"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"21.1</w:t>
      </w:r>
      <w:r w:rsidRPr="00B17129">
        <w:rPr>
          <w:rFonts w:ascii="Tahoma" w:eastAsia="Tahoma" w:hAnsi="Tahoma" w:cs="Tahoma"/>
          <w:color w:val="000000"/>
          <w:kern w:val="0"/>
          <w:szCs w:val="22"/>
          <w14:ligatures w14:val="none"/>
        </w:rPr>
        <w:tab/>
        <w:t>AUTHORITY</w:t>
      </w:r>
    </w:p>
    <w:p w14:paraId="1C11D94F"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w:t>
      </w:r>
      <w:r w:rsidRPr="00B17129">
        <w:rPr>
          <w:rFonts w:ascii="Tahoma" w:eastAsia="Tahoma" w:hAnsi="Tahoma" w:cs="Tahoma"/>
          <w:color w:val="000000"/>
          <w:kern w:val="0"/>
          <w:szCs w:val="22"/>
          <w14:ligatures w14:val="none"/>
        </w:rPr>
        <w:tab/>
        <w:t>Pursuant to Ark. Code Ann. § 17-3-103(a)(1), an individual with a criminal record may petition the Board at any time for a determination of whether the individual’s criminal record will disqualify him or her from licensure and whether he or she could obtain a waiver under Ark. Code Ann. § 17-3-102(b).</w:t>
      </w:r>
    </w:p>
    <w:p w14:paraId="73CA61D5"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(b)</w:t>
      </w:r>
      <w:r w:rsidRPr="00B17129">
        <w:rPr>
          <w:rFonts w:ascii="Tahoma" w:eastAsia="Tahoma" w:hAnsi="Tahoma" w:cs="Tahoma"/>
          <w:color w:val="000000"/>
          <w:kern w:val="0"/>
          <w:szCs w:val="22"/>
          <w14:ligatures w14:val="none"/>
        </w:rPr>
        <w:tab/>
        <w:t>Ark. Code Ann. § 17-3-104 requires the Board to adopt rules to implement this process."</w:t>
      </w:r>
    </w:p>
    <w:p w14:paraId="36181E6E" w14:textId="77777777" w:rsidR="00B17129" w:rsidRPr="00B17129" w:rsidRDefault="00B17129" w:rsidP="00B17129">
      <w:pPr>
        <w:spacing w:after="0" w:line="360" w:lineRule="auto"/>
        <w:rPr>
          <w:rFonts w:ascii="Tahoma" w:eastAsia="Tahoma" w:hAnsi="Tahoma" w:cs="Tahoma"/>
          <w:color w:val="000000"/>
          <w:kern w:val="0"/>
          <w:szCs w:val="22"/>
          <w14:ligatures w14:val="none"/>
        </w:rPr>
      </w:pPr>
    </w:p>
    <w:p w14:paraId="56542F5C" w14:textId="77777777" w:rsidR="00B17129" w:rsidRPr="00B17129" w:rsidRDefault="00B17129" w:rsidP="00B17129">
      <w:pPr>
        <w:spacing w:after="0" w:line="360" w:lineRule="auto"/>
        <w:rPr>
          <w:rFonts w:ascii="Tahoma" w:eastAsia="Tahoma" w:hAnsi="Tahoma" w:cs="Tahoma"/>
          <w:b/>
          <w:bCs/>
          <w:color w:val="000000"/>
          <w:kern w:val="0"/>
          <w:szCs w:val="22"/>
          <w14:ligatures w14:val="none"/>
        </w:rPr>
      </w:pPr>
      <w:r w:rsidRPr="00B17129">
        <w:rPr>
          <w:rFonts w:ascii="Tahoma" w:eastAsia="Tahoma" w:hAnsi="Tahoma" w:cs="Tahoma"/>
          <w:b/>
          <w:bCs/>
          <w:color w:val="000000"/>
          <w:kern w:val="0"/>
          <w:szCs w:val="22"/>
          <w14:ligatures w14:val="none"/>
        </w:rPr>
        <w:tab/>
        <w:t>17 CAR § 236-2001. Form and contents of petition.</w:t>
      </w:r>
    </w:p>
    <w:p w14:paraId="76A9CE9C"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t>(a) An individual wishing to submit a prelicensure criminal background petition shall do so on a form provided by the Arkansas State Board of Public Accountancy.</w:t>
      </w:r>
    </w:p>
    <w:p w14:paraId="6B682FFA"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t>(b) The petitioner shall complete all portions of the petition form and shall provide the following information:</w:t>
      </w:r>
    </w:p>
    <w:p w14:paraId="17058D06"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r>
      <w:r w:rsidRPr="00B17129">
        <w:rPr>
          <w:rFonts w:ascii="Tahoma" w:eastAsia="Tahoma" w:hAnsi="Tahoma" w:cs="Tahoma"/>
          <w:color w:val="000000"/>
          <w:kern w:val="0"/>
          <w:szCs w:val="22"/>
          <w14:ligatures w14:val="none"/>
        </w:rPr>
        <w:tab/>
        <w:t>(1) Full name, mailing address, email address, and phone number;</w:t>
      </w:r>
    </w:p>
    <w:p w14:paraId="4AFFD4C1"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r>
      <w:r w:rsidRPr="00B17129">
        <w:rPr>
          <w:rFonts w:ascii="Tahoma" w:eastAsia="Tahoma" w:hAnsi="Tahoma" w:cs="Tahoma"/>
          <w:color w:val="000000"/>
          <w:kern w:val="0"/>
          <w:szCs w:val="22"/>
          <w14:ligatures w14:val="none"/>
        </w:rPr>
        <w:tab/>
        <w:t>(2) Identification of the court, case name, and case number in which the petitioner was found guilty or pleaded guilty or nolo contendere;</w:t>
      </w:r>
    </w:p>
    <w:p w14:paraId="5391C515"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r>
      <w:r w:rsidRPr="00B17129">
        <w:rPr>
          <w:rFonts w:ascii="Tahoma" w:eastAsia="Tahoma" w:hAnsi="Tahoma" w:cs="Tahoma"/>
          <w:color w:val="000000"/>
          <w:kern w:val="0"/>
          <w:szCs w:val="22"/>
          <w14:ligatures w14:val="none"/>
        </w:rPr>
        <w:tab/>
        <w:t>(3) Name of each crime and relevant statute under which petitioner was found guilty or pleaded guilty or nolo contendere;</w:t>
      </w:r>
    </w:p>
    <w:p w14:paraId="1A428FB9"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r>
      <w:r w:rsidRPr="00B17129">
        <w:rPr>
          <w:rFonts w:ascii="Tahoma" w:eastAsia="Tahoma" w:hAnsi="Tahoma" w:cs="Tahoma"/>
          <w:color w:val="000000"/>
          <w:kern w:val="0"/>
          <w:szCs w:val="22"/>
          <w14:ligatures w14:val="none"/>
        </w:rPr>
        <w:tab/>
        <w:t>(4) Date of the judgment or sentencing order; and</w:t>
      </w:r>
    </w:p>
    <w:p w14:paraId="06905E90"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r>
      <w:r w:rsidRPr="00B17129">
        <w:rPr>
          <w:rFonts w:ascii="Tahoma" w:eastAsia="Tahoma" w:hAnsi="Tahoma" w:cs="Tahoma"/>
          <w:color w:val="000000"/>
          <w:kern w:val="0"/>
          <w:szCs w:val="22"/>
          <w14:ligatures w14:val="none"/>
        </w:rPr>
        <w:tab/>
        <w:t>(5) A file-marked copy of the judgment or sentencing order.</w:t>
      </w:r>
    </w:p>
    <w:p w14:paraId="6B88702F" w14:textId="77777777" w:rsidR="00B17129" w:rsidRPr="00B17129" w:rsidRDefault="00B17129" w:rsidP="00B17129">
      <w:pPr>
        <w:spacing w:after="0" w:line="360" w:lineRule="auto"/>
        <w:rPr>
          <w:rFonts w:ascii="Tahoma" w:eastAsia="Tahoma" w:hAnsi="Tahoma" w:cs="Tahoma"/>
          <w:color w:val="000000"/>
          <w:kern w:val="0"/>
          <w:szCs w:val="22"/>
          <w14:ligatures w14:val="none"/>
        </w:rPr>
      </w:pPr>
      <w:r w:rsidRPr="00B17129">
        <w:rPr>
          <w:rFonts w:ascii="Tahoma" w:eastAsia="Tahoma" w:hAnsi="Tahoma" w:cs="Tahoma"/>
          <w:color w:val="000000"/>
          <w:kern w:val="0"/>
          <w:szCs w:val="22"/>
          <w14:ligatures w14:val="none"/>
        </w:rPr>
        <w:tab/>
        <w:t>(c) If the petitioner wishes to do so, he or she may also submit a written position statement concerning the three (3) issues the board will address in its determination, which are set forth in 17 CAR § 236-2002.</w:t>
      </w:r>
    </w:p>
    <w:p w14:paraId="6C44ABEA" w14:textId="77777777" w:rsidR="00B17129" w:rsidRPr="00B17129" w:rsidRDefault="00B17129" w:rsidP="00B17129">
      <w:pPr>
        <w:spacing w:after="0" w:line="360" w:lineRule="auto"/>
        <w:rPr>
          <w:rFonts w:ascii="Tahoma" w:eastAsia="Tahoma" w:hAnsi="Tahoma" w:cs="Tahoma"/>
          <w:color w:val="000000"/>
          <w:kern w:val="0"/>
          <w:szCs w:val="22"/>
          <w14:ligatures w14:val="none"/>
        </w:rPr>
      </w:pPr>
    </w:p>
    <w:p w14:paraId="21841F21"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b/>
          <w:kern w:val="0"/>
          <w14:ligatures w14:val="none"/>
        </w:rPr>
        <w:tab/>
        <w:t>17 CAR § 236-2002. Consideration of petition.</w:t>
      </w:r>
      <w:r w:rsidRPr="00B17129">
        <w:rPr>
          <w:rFonts w:ascii="Tahoma" w:eastAsia="Calibri" w:hAnsi="Tahoma" w:cs="Tahoma"/>
          <w:kern w:val="0"/>
          <w14:ligatures w14:val="none"/>
        </w:rPr>
        <w:t xml:space="preserve"> </w:t>
      </w:r>
    </w:p>
    <w:p w14:paraId="64AAF6D9"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lastRenderedPageBreak/>
        <w:tab/>
        <w:t>(a) A completed petition shall be submitted to the Arkansas State Board of Public Accountancy’s Executive Director via certified mail, return receipt requested.</w:t>
      </w:r>
    </w:p>
    <w:p w14:paraId="0DCCD613"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(b)(1) The Executive Director shall present any properly completed petition to the board’s Compliance Committee at the next Compliance Committee meeting following receipt of the petition. </w:t>
      </w:r>
    </w:p>
    <w:p w14:paraId="063D5852"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t>(2) However, if the Executive Director determines that the petition has not been properly completed, he or she shall return the petition to the petitioner at the address provided on the petition with instructions as to any additional information the petitioner needs to supply.</w:t>
      </w:r>
    </w:p>
    <w:p w14:paraId="7A71E4DA"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(c) After considering the petition, the Compliance Committee shall make a recommendation to the board regarding its determination on the petition.</w:t>
      </w:r>
    </w:p>
    <w:p w14:paraId="7E657FB2"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(d) The board shall consider the petition and may accept, reject, or modify the Compliance Committee’s recommendation.  </w:t>
      </w:r>
    </w:p>
    <w:p w14:paraId="16E0BD49"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(e) For the purposes of considering a prelicensure criminal background petition, the board shall accept </w:t>
      </w:r>
      <w:proofErr w:type="gramStart"/>
      <w:r w:rsidRPr="00B17129">
        <w:rPr>
          <w:rFonts w:ascii="Tahoma" w:eastAsia="Calibri" w:hAnsi="Tahoma" w:cs="Tahoma"/>
          <w:kern w:val="0"/>
          <w14:ligatures w14:val="none"/>
        </w:rPr>
        <w:t>as true the facts as stated in the petition</w:t>
      </w:r>
      <w:proofErr w:type="gramEnd"/>
      <w:r w:rsidRPr="00B17129">
        <w:rPr>
          <w:rFonts w:ascii="Tahoma" w:eastAsia="Calibri" w:hAnsi="Tahoma" w:cs="Tahoma"/>
          <w:kern w:val="0"/>
          <w14:ligatures w14:val="none"/>
        </w:rPr>
        <w:t>.</w:t>
      </w:r>
    </w:p>
    <w:p w14:paraId="46CA6978"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(f) In making its determination on a prelicensure criminal background petition, the board shall address the following three (3) issues:</w:t>
      </w:r>
    </w:p>
    <w:p w14:paraId="5E3CF32A"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t>(1) Whether the petitioner’s criminal record, as set forth in the petition, will disqualify the petitioner from licensure under Arkansas Code § 17-3-102;</w:t>
      </w:r>
    </w:p>
    <w:p w14:paraId="6349728A"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t>(2) If the petitioner’s criminal record will disqualify the petitioner from licensure, then whether the petitioner could obtain a waiver under Arkansas Code § 17-3-102(b); and</w:t>
      </w:r>
    </w:p>
    <w:p w14:paraId="13BC01A3"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t xml:space="preserve">(3) Whether the petitioner’s criminal record could result in the denial of an application for licensure under Arkansas Code § 17-12-601, regardless of whether the petitioner would be disqualified from licensure under Arkansas Code § 17-3-102. </w:t>
      </w:r>
    </w:p>
    <w:p w14:paraId="2E97741A"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(g) The board’s determination on a prelicensure criminal background petition shall be put in writing and served on the petitioner at the address provided in the petition via certified mail, return receipt requested. </w:t>
      </w:r>
    </w:p>
    <w:p w14:paraId="034DD188"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(h) The board’s determination is not subject to appeal.</w:t>
      </w:r>
    </w:p>
    <w:p w14:paraId="5B6BF7D7" w14:textId="77777777" w:rsidR="00B17129" w:rsidRPr="00B17129" w:rsidRDefault="00B17129" w:rsidP="00B17129">
      <w:pPr>
        <w:spacing w:after="0" w:line="360" w:lineRule="auto"/>
        <w:rPr>
          <w:rFonts w:ascii="Tahoma" w:eastAsia="Tahoma" w:hAnsi="Tahoma" w:cs="Tahoma"/>
          <w:color w:val="000000"/>
          <w:kern w:val="0"/>
          <w:szCs w:val="22"/>
          <w14:ligatures w14:val="none"/>
        </w:rPr>
      </w:pPr>
    </w:p>
    <w:p w14:paraId="580FDE1B"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b/>
          <w:kern w:val="0"/>
          <w14:ligatures w14:val="none"/>
        </w:rPr>
        <w:lastRenderedPageBreak/>
        <w:tab/>
        <w:t>17 CAR § 236-2003. Applicability of determination in license application process.</w:t>
      </w:r>
      <w:r w:rsidRPr="00B17129">
        <w:rPr>
          <w:rFonts w:ascii="Tahoma" w:eastAsia="Calibri" w:hAnsi="Tahoma" w:cs="Tahoma"/>
          <w:kern w:val="0"/>
          <w14:ligatures w14:val="none"/>
        </w:rPr>
        <w:t xml:space="preserve"> </w:t>
      </w:r>
    </w:p>
    <w:p w14:paraId="73C88AF8"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(a)(1) A determination on a prelicensure criminal background petition that is unfavorable to the petitioner does not preclude the petitioner from later applying for licensure. </w:t>
      </w:r>
    </w:p>
    <w:p w14:paraId="6F885223"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t>(2) However, the determination will be reviewed and taken into consideration by the Arkansas State Board of Public Accountancy in its decision on whether to grant an application for an individual CPA or PA license.</w:t>
      </w:r>
    </w:p>
    <w:p w14:paraId="5BC40744"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(b) An applicant for an individual CPA or PA license must undergo the criminal background check required under 17 CAR § 236-902, regardless of whether that individual has completed the prelicensure criminal background petition process set out in this subpart.</w:t>
      </w:r>
    </w:p>
    <w:p w14:paraId="0A57B3F7"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(c) If the results of the criminal background check required under 17 CAR § 236-902 match the facts concerning the applicant’s criminal history that were provided in a prelicensure criminal background petition, and if the board determined in response to the petition that either the petitioner’s criminal history either does not disqualify the individual from licensure or the petitioner could obtain a waiver under Arkansas Code § 17-3-102(b), then the board will be bound by its determination on the prelicensure criminal background petition.</w:t>
      </w:r>
    </w:p>
    <w:p w14:paraId="619FD2A9"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(d) If the board discovers during the license application process that the facts of the applicant’s criminal background are different from those set out in the prelicensure criminal background petition, the board will not be bound by its determination on the petition. </w:t>
      </w:r>
    </w:p>
    <w:p w14:paraId="4B61859F"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t xml:space="preserve">(e)(1) A determination by the board in response to a prelicensure criminal background petition that an individual with an otherwise disqualifying criminal history could obtain a waiver under Arkansas Code § 17-3-102(b) does not mean that the individual will be granted such waiver. </w:t>
      </w:r>
    </w:p>
    <w:p w14:paraId="774FF1A3"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t>(2) Whether to grant a waiver, when permissible, may only be decided through a hearing requested by:</w:t>
      </w:r>
    </w:p>
    <w:p w14:paraId="50F5E1FD"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tab/>
      </w:r>
      <w:r w:rsidRPr="00B17129">
        <w:rPr>
          <w:rFonts w:ascii="Tahoma" w:eastAsia="Calibri" w:hAnsi="Tahoma" w:cs="Tahoma"/>
          <w:kern w:val="0"/>
          <w14:ligatures w14:val="none"/>
        </w:rPr>
        <w:tab/>
      </w:r>
      <w:r w:rsidRPr="00B17129">
        <w:rPr>
          <w:rFonts w:ascii="Tahoma" w:eastAsia="Calibri" w:hAnsi="Tahoma" w:cs="Tahoma"/>
          <w:kern w:val="0"/>
          <w14:ligatures w14:val="none"/>
        </w:rPr>
        <w:tab/>
        <w:t xml:space="preserve">(A) An affected applicant for a license; or </w:t>
      </w:r>
    </w:p>
    <w:p w14:paraId="03EB96C8" w14:textId="77777777" w:rsidR="00B17129" w:rsidRPr="00B17129" w:rsidRDefault="00B17129" w:rsidP="00B17129">
      <w:pPr>
        <w:spacing w:after="0" w:line="360" w:lineRule="auto"/>
        <w:rPr>
          <w:rFonts w:ascii="Tahoma" w:eastAsia="Calibri" w:hAnsi="Tahoma" w:cs="Tahoma"/>
          <w:kern w:val="0"/>
          <w14:ligatures w14:val="none"/>
        </w:rPr>
      </w:pPr>
      <w:r w:rsidRPr="00B17129">
        <w:rPr>
          <w:rFonts w:ascii="Tahoma" w:eastAsia="Calibri" w:hAnsi="Tahoma" w:cs="Tahoma"/>
          <w:kern w:val="0"/>
          <w14:ligatures w14:val="none"/>
        </w:rPr>
        <w:lastRenderedPageBreak/>
        <w:tab/>
      </w:r>
      <w:r w:rsidRPr="00B17129">
        <w:rPr>
          <w:rFonts w:ascii="Tahoma" w:eastAsia="Calibri" w:hAnsi="Tahoma" w:cs="Tahoma"/>
          <w:kern w:val="0"/>
          <w14:ligatures w14:val="none"/>
        </w:rPr>
        <w:tab/>
      </w:r>
      <w:r w:rsidRPr="00B17129">
        <w:rPr>
          <w:rFonts w:ascii="Tahoma" w:eastAsia="Calibri" w:hAnsi="Tahoma" w:cs="Tahoma"/>
          <w:kern w:val="0"/>
          <w14:ligatures w14:val="none"/>
        </w:rPr>
        <w:tab/>
        <w:t>(B) An individual holding a license subject to revocation.</w:t>
      </w:r>
    </w:p>
    <w:p w14:paraId="4518CA26" w14:textId="77777777" w:rsidR="00C223E9" w:rsidRPr="00EC4CDA" w:rsidRDefault="00C223E9" w:rsidP="00EC4CDA"/>
    <w:sectPr w:rsidR="00C223E9" w:rsidRPr="00EC4CDA" w:rsidSect="00171A6D">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E865" w14:textId="77777777" w:rsidR="0021437B" w:rsidRDefault="0021437B" w:rsidP="0021437B">
      <w:pPr>
        <w:spacing w:after="0" w:line="240" w:lineRule="auto"/>
      </w:pPr>
      <w:r>
        <w:separator/>
      </w:r>
    </w:p>
  </w:endnote>
  <w:endnote w:type="continuationSeparator" w:id="0">
    <w:p w14:paraId="27E7776B" w14:textId="77777777" w:rsidR="0021437B" w:rsidRDefault="0021437B" w:rsidP="0021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4B9" w14:textId="73E4CCAB" w:rsidR="00657500" w:rsidRPr="009432CA" w:rsidRDefault="00657500">
    <w:pPr>
      <w:pStyle w:val="Footer"/>
      <w:rPr>
        <w:color w:val="948A54"/>
      </w:rPr>
    </w:pPr>
    <w:r w:rsidRPr="009432CA">
      <w:rPr>
        <w:color w:val="948A54"/>
      </w:rPr>
      <w:t>Last Amended</w:t>
    </w:r>
    <w:r w:rsidR="0036456A" w:rsidRPr="009432CA">
      <w:rPr>
        <w:color w:val="948A54"/>
      </w:rPr>
      <w:t xml:space="preserve"> </w:t>
    </w:r>
    <w:r w:rsidRPr="009432CA">
      <w:rPr>
        <w:color w:val="948A54"/>
      </w:rPr>
      <w:t xml:space="preserve"> 05/</w:t>
    </w:r>
    <w:r w:rsidR="00B17129">
      <w:rPr>
        <w:color w:val="948A54"/>
      </w:rPr>
      <w:t>03</w:t>
    </w:r>
    <w:r w:rsidRPr="009432CA">
      <w:rPr>
        <w:color w:val="948A54"/>
      </w:rPr>
      <w:t>/20</w:t>
    </w:r>
    <w:r w:rsidR="00B17129">
      <w:rPr>
        <w:color w:val="948A54"/>
      </w:rPr>
      <w:t>18</w:t>
    </w:r>
    <w:r w:rsidR="00E8385F" w:rsidRPr="009432CA">
      <w:rPr>
        <w:color w:val="948A54"/>
      </w:rPr>
      <w:tab/>
    </w:r>
    <w:r w:rsidR="00F83070" w:rsidRPr="009432CA">
      <w:rPr>
        <w:color w:val="948A54"/>
      </w:rPr>
      <w:fldChar w:fldCharType="begin"/>
    </w:r>
    <w:r w:rsidR="00F83070" w:rsidRPr="009432CA">
      <w:rPr>
        <w:color w:val="948A54"/>
      </w:rPr>
      <w:instrText xml:space="preserve"> PAGE   \* MERGEFORMAT </w:instrText>
    </w:r>
    <w:r w:rsidR="00F83070" w:rsidRPr="009432CA">
      <w:rPr>
        <w:color w:val="948A54"/>
      </w:rPr>
      <w:fldChar w:fldCharType="separate"/>
    </w:r>
    <w:r w:rsidR="00F83070" w:rsidRPr="009432CA">
      <w:rPr>
        <w:noProof/>
        <w:color w:val="948A54"/>
      </w:rPr>
      <w:t>1</w:t>
    </w:r>
    <w:r w:rsidR="00F83070" w:rsidRPr="009432CA">
      <w:rPr>
        <w:noProof/>
        <w:color w:val="948A54"/>
      </w:rPr>
      <w:fldChar w:fldCharType="end"/>
    </w:r>
  </w:p>
  <w:p w14:paraId="06734FFD" w14:textId="77777777" w:rsidR="00657500" w:rsidRDefault="006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8263" w14:textId="77777777" w:rsidR="0021437B" w:rsidRDefault="0021437B" w:rsidP="0021437B">
      <w:pPr>
        <w:spacing w:after="0" w:line="240" w:lineRule="auto"/>
      </w:pPr>
      <w:r>
        <w:separator/>
      </w:r>
    </w:p>
  </w:footnote>
  <w:footnote w:type="continuationSeparator" w:id="0">
    <w:p w14:paraId="3E1E88DD" w14:textId="77777777" w:rsidR="0021437B" w:rsidRDefault="0021437B" w:rsidP="0021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D5E" w14:textId="0558E9C8" w:rsidR="0021437B" w:rsidRPr="009432CA" w:rsidRDefault="0021437B">
    <w:pPr>
      <w:pStyle w:val="Header"/>
      <w:rPr>
        <w:rFonts w:ascii="Tahoma" w:hAnsi="Tahoma" w:cs="Tahoma"/>
        <w:color w:val="948A54"/>
      </w:rPr>
    </w:pPr>
    <w:r w:rsidRPr="009432CA">
      <w:rPr>
        <w:rFonts w:ascii="Tahoma" w:hAnsi="Tahoma" w:cs="Tahoma"/>
        <w:color w:val="948A54"/>
      </w:rPr>
      <w:t>Title 17. CAR Part 236. State Board of Public Accountancy Rules</w:t>
    </w:r>
  </w:p>
  <w:p w14:paraId="518C4F9E" w14:textId="77777777" w:rsidR="005F4EEE" w:rsidRPr="00171A6D" w:rsidRDefault="005F4EEE">
    <w:pPr>
      <w:pStyle w:val="Header"/>
      <w:rPr>
        <w:rFonts w:ascii="Tahoma" w:hAnsi="Tahoma" w:cs="Tahoma"/>
        <w:sz w:val="20"/>
        <w:szCs w:val="20"/>
      </w:rPr>
    </w:pPr>
  </w:p>
  <w:p w14:paraId="4EC5E6C1" w14:textId="77777777" w:rsidR="0021437B" w:rsidRPr="00171A6D" w:rsidRDefault="0021437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B"/>
    <w:rsid w:val="00171A6D"/>
    <w:rsid w:val="0021437B"/>
    <w:rsid w:val="00216B54"/>
    <w:rsid w:val="00220548"/>
    <w:rsid w:val="00233240"/>
    <w:rsid w:val="002B47AB"/>
    <w:rsid w:val="0036456A"/>
    <w:rsid w:val="003A2AC2"/>
    <w:rsid w:val="00487FD4"/>
    <w:rsid w:val="005E7E70"/>
    <w:rsid w:val="005F4EEE"/>
    <w:rsid w:val="00657500"/>
    <w:rsid w:val="00680EBE"/>
    <w:rsid w:val="007237A9"/>
    <w:rsid w:val="008447D3"/>
    <w:rsid w:val="008D6C50"/>
    <w:rsid w:val="009432CA"/>
    <w:rsid w:val="00B17129"/>
    <w:rsid w:val="00C223E9"/>
    <w:rsid w:val="00E8385F"/>
    <w:rsid w:val="00EC4CDA"/>
    <w:rsid w:val="00F8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6320E"/>
  <w15:chartTrackingRefBased/>
  <w15:docId w15:val="{64F270B6-D8B7-419C-B043-52F089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7B"/>
    <w:rPr>
      <w:rFonts w:eastAsiaTheme="majorEastAsia" w:cstheme="majorBidi"/>
      <w:color w:val="272727" w:themeColor="text1" w:themeTint="D8"/>
    </w:rPr>
  </w:style>
  <w:style w:type="paragraph" w:styleId="Title">
    <w:name w:val="Title"/>
    <w:basedOn w:val="Normal"/>
    <w:next w:val="Normal"/>
    <w:link w:val="TitleChar"/>
    <w:uiPriority w:val="10"/>
    <w:qFormat/>
    <w:rsid w:val="0021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1437B"/>
    <w:rPr>
      <w:i/>
      <w:iCs/>
      <w:color w:val="404040" w:themeColor="text1" w:themeTint="BF"/>
    </w:rPr>
  </w:style>
  <w:style w:type="paragraph" w:styleId="ListParagraph">
    <w:name w:val="List Paragraph"/>
    <w:basedOn w:val="Normal"/>
    <w:uiPriority w:val="34"/>
    <w:qFormat/>
    <w:rsid w:val="0021437B"/>
    <w:pPr>
      <w:ind w:left="720"/>
      <w:contextualSpacing/>
    </w:pPr>
  </w:style>
  <w:style w:type="character" w:styleId="IntenseEmphasis">
    <w:name w:val="Intense Emphasis"/>
    <w:basedOn w:val="DefaultParagraphFont"/>
    <w:uiPriority w:val="21"/>
    <w:qFormat/>
    <w:rsid w:val="0021437B"/>
    <w:rPr>
      <w:i/>
      <w:iCs/>
      <w:color w:val="0F4761" w:themeColor="accent1" w:themeShade="BF"/>
    </w:rPr>
  </w:style>
  <w:style w:type="paragraph" w:styleId="IntenseQuote">
    <w:name w:val="Intense Quote"/>
    <w:basedOn w:val="Normal"/>
    <w:next w:val="Normal"/>
    <w:link w:val="IntenseQuoteChar"/>
    <w:uiPriority w:val="30"/>
    <w:qFormat/>
    <w:rsid w:val="0021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7B"/>
    <w:rPr>
      <w:i/>
      <w:iCs/>
      <w:color w:val="0F4761" w:themeColor="accent1" w:themeShade="BF"/>
    </w:rPr>
  </w:style>
  <w:style w:type="character" w:styleId="IntenseReference">
    <w:name w:val="Intense Reference"/>
    <w:basedOn w:val="DefaultParagraphFont"/>
    <w:uiPriority w:val="32"/>
    <w:qFormat/>
    <w:rsid w:val="0021437B"/>
    <w:rPr>
      <w:b/>
      <w:bCs/>
      <w:smallCaps/>
      <w:color w:val="0F4761" w:themeColor="accent1" w:themeShade="BF"/>
      <w:spacing w:val="5"/>
    </w:rPr>
  </w:style>
  <w:style w:type="paragraph" w:styleId="Header">
    <w:name w:val="header"/>
    <w:basedOn w:val="Normal"/>
    <w:link w:val="HeaderChar"/>
    <w:uiPriority w:val="99"/>
    <w:unhideWhenUsed/>
    <w:rsid w:val="0021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7B"/>
  </w:style>
  <w:style w:type="paragraph" w:styleId="Footer">
    <w:name w:val="footer"/>
    <w:basedOn w:val="Normal"/>
    <w:link w:val="FooterChar"/>
    <w:uiPriority w:val="99"/>
    <w:unhideWhenUsed/>
    <w:rsid w:val="0021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Montgomery</dc:creator>
  <cp:keywords/>
  <dc:description/>
  <cp:lastModifiedBy>Tim Montgomery</cp:lastModifiedBy>
  <cp:revision>2</cp:revision>
  <cp:lastPrinted>2025-07-28T15:54:00Z</cp:lastPrinted>
  <dcterms:created xsi:type="dcterms:W3CDTF">2025-07-28T17:01:00Z</dcterms:created>
  <dcterms:modified xsi:type="dcterms:W3CDTF">2025-07-28T17:01:00Z</dcterms:modified>
</cp:coreProperties>
</file>